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D2E" w:rsidRDefault="00EC0D2E" w:rsidP="00EC0D2E">
      <w:pPr>
        <w:pStyle w:val="NormalWeb"/>
        <w:spacing w:before="0" w:beforeAutospacing="0" w:after="0" w:afterAutospacing="0" w:line="480" w:lineRule="auto"/>
        <w:jc w:val="center"/>
        <w:rPr>
          <w:color w:val="0E101A"/>
        </w:rPr>
      </w:pPr>
      <w:r>
        <w:rPr>
          <w:color w:val="0E101A"/>
        </w:rPr>
        <w:t>Crime against people</w:t>
      </w:r>
    </w:p>
    <w:p w:rsidR="00EC0D2E" w:rsidRDefault="00EC0D2E" w:rsidP="00EC0D2E">
      <w:pPr>
        <w:pStyle w:val="NormalWeb"/>
        <w:spacing w:before="0" w:beforeAutospacing="0" w:after="0" w:afterAutospacing="0" w:line="480" w:lineRule="auto"/>
        <w:rPr>
          <w:color w:val="0E101A"/>
        </w:rPr>
      </w:pPr>
    </w:p>
    <w:p w:rsidR="00EC0D2E" w:rsidRDefault="00EC0D2E" w:rsidP="00EC0D2E">
      <w:pPr>
        <w:pStyle w:val="NormalWeb"/>
        <w:spacing w:before="0" w:beforeAutospacing="0" w:after="0" w:afterAutospacing="0" w:line="480" w:lineRule="auto"/>
        <w:rPr>
          <w:color w:val="0E101A"/>
        </w:rPr>
      </w:pPr>
      <w:r>
        <w:rPr>
          <w:color w:val="0E101A"/>
        </w:rPr>
        <w:t>Daniel, Hall E. </w:t>
      </w:r>
      <w:r>
        <w:rPr>
          <w:rStyle w:val="Emphasis"/>
          <w:color w:val="0E101A"/>
        </w:rPr>
        <w:t>Criminal Law and Procedure, Seventh Edition</w:t>
      </w:r>
      <w:r>
        <w:rPr>
          <w:color w:val="0E101A"/>
        </w:rPr>
        <w:t>. (2015).</w:t>
      </w:r>
    </w:p>
    <w:p w:rsidR="00EC0D2E" w:rsidRDefault="00EC0D2E" w:rsidP="00EC0D2E">
      <w:pPr>
        <w:pStyle w:val="NormalWeb"/>
        <w:spacing w:before="0" w:beforeAutospacing="0" w:after="0" w:afterAutospacing="0" w:line="480" w:lineRule="auto"/>
        <w:rPr>
          <w:color w:val="0E101A"/>
        </w:rPr>
      </w:pPr>
      <w:r>
        <w:rPr>
          <w:color w:val="0E101A"/>
        </w:rPr>
        <w:t>Daniel, in his book, highlights several crimes such as child abuse, murder, sex crimes, kidnapping, among others. In explaining how crimes occur, the book gives an insight concerning the effects of such crimes as well as the ethical consideration of crimes.</w:t>
      </w:r>
    </w:p>
    <w:p w:rsidR="00EC0D2E" w:rsidRDefault="00EC0D2E" w:rsidP="00EC0D2E">
      <w:pPr>
        <w:pStyle w:val="NormalWeb"/>
        <w:spacing w:before="0" w:beforeAutospacing="0" w:after="0" w:afterAutospacing="0" w:line="480" w:lineRule="auto"/>
        <w:ind w:left="720" w:hanging="720"/>
        <w:rPr>
          <w:color w:val="0E101A"/>
        </w:rPr>
      </w:pPr>
      <w:r>
        <w:rPr>
          <w:color w:val="0E101A"/>
        </w:rPr>
        <w:t>Walters, Mark A., Jennifer Pat</w:t>
      </w:r>
      <w:bookmarkStart w:id="0" w:name="_GoBack"/>
      <w:bookmarkEnd w:id="0"/>
      <w:r>
        <w:rPr>
          <w:color w:val="0E101A"/>
        </w:rPr>
        <w:t>erson, Rupert Brown, and Liz McDonnell. "Hate crimes against trans people: assessing emotions, behaviors, and attitudes toward criminal justice agencies." </w:t>
      </w:r>
      <w:r>
        <w:rPr>
          <w:rStyle w:val="Emphasis"/>
          <w:color w:val="0E101A"/>
        </w:rPr>
        <w:t>Journal of interpersonal violence</w:t>
      </w:r>
      <w:r>
        <w:rPr>
          <w:color w:val="0E101A"/>
        </w:rPr>
        <w:t> (2017).</w:t>
      </w:r>
    </w:p>
    <w:p w:rsidR="00EC0D2E" w:rsidRDefault="00EC0D2E" w:rsidP="00EC0D2E">
      <w:pPr>
        <w:pStyle w:val="NormalWeb"/>
        <w:spacing w:before="0" w:beforeAutospacing="0" w:after="0" w:afterAutospacing="0" w:line="480" w:lineRule="auto"/>
        <w:rPr>
          <w:color w:val="0E101A"/>
        </w:rPr>
      </w:pPr>
      <w:r>
        <w:rPr>
          <w:color w:val="0E101A"/>
        </w:rPr>
        <w:t xml:space="preserve">A survey </w:t>
      </w:r>
      <w:r w:rsidR="00B543EC">
        <w:rPr>
          <w:color w:val="0E101A"/>
        </w:rPr>
        <w:t>done</w:t>
      </w:r>
      <w:r>
        <w:rPr>
          <w:color w:val="0E101A"/>
        </w:rPr>
        <w:t xml:space="preserve"> by Walters et al. (2017) </w:t>
      </w:r>
      <w:r w:rsidR="00B543EC">
        <w:rPr>
          <w:color w:val="0E101A"/>
        </w:rPr>
        <w:t>shows</w:t>
      </w:r>
      <w:r>
        <w:rPr>
          <w:color w:val="0E101A"/>
        </w:rPr>
        <w:t xml:space="preserve"> that hate crimes on Lesbians, gays and bisexual people in the United Kingdom had increased drastically. The article also explains the vulnerability the trans-gender people have, such as verbal abuse, discrimination. The affected find it difficult to find accommodation as well as cope with colleagues at work. Also, the article addresses the claims that, the government has failed in combating the hate crimes posed to trans-gendered people. </w:t>
      </w:r>
    </w:p>
    <w:p w:rsidR="00EC0D2E" w:rsidRDefault="00EC0D2E" w:rsidP="00EC0D2E">
      <w:pPr>
        <w:pStyle w:val="NormalWeb"/>
        <w:spacing w:before="0" w:beforeAutospacing="0" w:after="0" w:afterAutospacing="0" w:line="480" w:lineRule="auto"/>
        <w:ind w:left="720" w:hanging="720"/>
        <w:rPr>
          <w:color w:val="0E101A"/>
        </w:rPr>
      </w:pPr>
      <w:r>
        <w:rPr>
          <w:color w:val="0E101A"/>
        </w:rPr>
        <w:t>Gerstenfeld, Phyllis B. "Hate Crime." </w:t>
      </w:r>
      <w:r>
        <w:rPr>
          <w:rStyle w:val="Emphasis"/>
          <w:color w:val="0E101A"/>
        </w:rPr>
        <w:t>The Wiley Handbook of Violence and Aggression</w:t>
      </w:r>
      <w:r>
        <w:rPr>
          <w:color w:val="0E101A"/>
        </w:rPr>
        <w:t> (2017): 1-13.</w:t>
      </w:r>
    </w:p>
    <w:p w:rsidR="00EC0D2E" w:rsidRDefault="00EC0D2E" w:rsidP="00EC0D2E">
      <w:pPr>
        <w:pStyle w:val="NormalWeb"/>
        <w:spacing w:before="0" w:beforeAutospacing="0" w:after="0" w:afterAutospacing="0" w:line="480" w:lineRule="auto"/>
        <w:rPr>
          <w:color w:val="0E101A"/>
        </w:rPr>
      </w:pPr>
      <w:r>
        <w:rPr>
          <w:color w:val="0E101A"/>
        </w:rPr>
        <w:t>Gerstenfeld's book sheds light on hate crime by defining the concept, analyzing the causes of hate crimes. Furthermore, the book explains the difference that exists between hate crime and hate speech and finally researching those committing hate crimes.</w:t>
      </w:r>
    </w:p>
    <w:p w:rsidR="00EC0D2E" w:rsidRDefault="00EC0D2E" w:rsidP="00EC0D2E">
      <w:pPr>
        <w:pStyle w:val="NormalWeb"/>
        <w:spacing w:before="0" w:beforeAutospacing="0" w:after="0" w:afterAutospacing="0" w:line="480" w:lineRule="auto"/>
        <w:ind w:left="720" w:hanging="720"/>
        <w:rPr>
          <w:color w:val="0E101A"/>
        </w:rPr>
      </w:pPr>
      <w:r>
        <w:rPr>
          <w:color w:val="0E101A"/>
        </w:rPr>
        <w:t>Mathews, Ian. "Representations of vulnerability, innocence, and evil in the murder of a disabled person." </w:t>
      </w:r>
      <w:r>
        <w:rPr>
          <w:rStyle w:val="Emphasis"/>
          <w:color w:val="0E101A"/>
        </w:rPr>
        <w:t>Disability &amp; Society</w:t>
      </w:r>
      <w:r>
        <w:rPr>
          <w:color w:val="0E101A"/>
        </w:rPr>
        <w:t> 33, no. 10 (2018): 1620-1638.</w:t>
      </w:r>
    </w:p>
    <w:p w:rsidR="00EC0D2E" w:rsidRDefault="00EC0D2E" w:rsidP="00EC0D2E">
      <w:pPr>
        <w:pStyle w:val="NormalWeb"/>
        <w:spacing w:before="0" w:beforeAutospacing="0" w:after="0" w:afterAutospacing="0" w:line="480" w:lineRule="auto"/>
        <w:rPr>
          <w:color w:val="0E101A"/>
        </w:rPr>
      </w:pPr>
      <w:r>
        <w:rPr>
          <w:color w:val="0E101A"/>
        </w:rPr>
        <w:lastRenderedPageBreak/>
        <w:t>The article examines murder incidences of a disabled person as a representation of a crime against people. In understanding crimes, Mathews uses a social representation theory in identifying victims as well as the perpetrators. Lastly, the article explains how disadvantaging the disabled impact their lives.</w:t>
      </w:r>
    </w:p>
    <w:p w:rsidR="00EC0D2E" w:rsidRDefault="00EC0D2E" w:rsidP="00EC0D2E">
      <w:pPr>
        <w:pStyle w:val="NormalWeb"/>
        <w:spacing w:before="0" w:beforeAutospacing="0" w:after="0" w:afterAutospacing="0" w:line="480" w:lineRule="auto"/>
        <w:ind w:left="720" w:hanging="720"/>
        <w:rPr>
          <w:color w:val="0E101A"/>
        </w:rPr>
      </w:pPr>
      <w:r>
        <w:rPr>
          <w:color w:val="0E101A"/>
        </w:rPr>
        <w:t>Martellozzo, E., 2019. Online Child Sexual abuse. In </w:t>
      </w:r>
      <w:r>
        <w:rPr>
          <w:rStyle w:val="Emphasis"/>
          <w:color w:val="0E101A"/>
        </w:rPr>
        <w:t>Child Abuse and Neglect</w:t>
      </w:r>
      <w:r>
        <w:rPr>
          <w:color w:val="0E101A"/>
        </w:rPr>
        <w:t> (pp. 63-77). Academic Press.</w:t>
      </w:r>
    </w:p>
    <w:p w:rsidR="00EC0D2E" w:rsidRDefault="00EC0D2E" w:rsidP="00EC0D2E">
      <w:pPr>
        <w:pStyle w:val="NormalWeb"/>
        <w:spacing w:before="0" w:beforeAutospacing="0" w:after="0" w:afterAutospacing="0" w:line="480" w:lineRule="auto"/>
        <w:rPr>
          <w:color w:val="0E101A"/>
        </w:rPr>
      </w:pPr>
      <w:r>
        <w:rPr>
          <w:color w:val="0E101A"/>
        </w:rPr>
        <w:t>The book examines online sexual abuse as a new form of crime that affects the 21st century. Furthermore, it helps us to understand the nature of the crime as well as suggesting ways that can help reduce online sexual abuse. Martellozzo's book suggests the need for the government to put in place resources that will increase awareness and help fight sexual crimes.</w:t>
      </w:r>
    </w:p>
    <w:p w:rsidR="00EC0D2E" w:rsidRDefault="00EC0D2E" w:rsidP="00EC0D2E">
      <w:pPr>
        <w:pStyle w:val="NormalWeb"/>
        <w:spacing w:before="0" w:beforeAutospacing="0" w:after="0" w:afterAutospacing="0" w:line="480" w:lineRule="auto"/>
        <w:rPr>
          <w:color w:val="0E101A"/>
        </w:rPr>
      </w:pPr>
      <w:r>
        <w:rPr>
          <w:color w:val="0E101A"/>
        </w:rPr>
        <w:t>  </w:t>
      </w:r>
    </w:p>
    <w:p w:rsidR="00B462D7" w:rsidRPr="00DC18B6" w:rsidRDefault="00B462D7" w:rsidP="00EC0D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B462D7" w:rsidRPr="00DC18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BCF" w:rsidRDefault="00831BCF" w:rsidP="00A71DC3">
      <w:pPr>
        <w:spacing w:after="0" w:line="240" w:lineRule="auto"/>
      </w:pPr>
      <w:r>
        <w:separator/>
      </w:r>
    </w:p>
  </w:endnote>
  <w:endnote w:type="continuationSeparator" w:id="0">
    <w:p w:rsidR="00831BCF" w:rsidRDefault="00831BCF" w:rsidP="00A71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BCF" w:rsidRDefault="00831BCF" w:rsidP="00A71DC3">
      <w:pPr>
        <w:spacing w:after="0" w:line="240" w:lineRule="auto"/>
      </w:pPr>
      <w:r>
        <w:separator/>
      </w:r>
    </w:p>
  </w:footnote>
  <w:footnote w:type="continuationSeparator" w:id="0">
    <w:p w:rsidR="00831BCF" w:rsidRDefault="00831BCF" w:rsidP="00A71D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693759"/>
      <w:docPartObj>
        <w:docPartGallery w:val="Page Numbers (Top of Page)"/>
        <w:docPartUnique/>
      </w:docPartObj>
    </w:sdtPr>
    <w:sdtEndPr>
      <w:rPr>
        <w:noProof/>
      </w:rPr>
    </w:sdtEndPr>
    <w:sdtContent>
      <w:p w:rsidR="00A71DC3" w:rsidRDefault="00A71DC3">
        <w:pPr>
          <w:pStyle w:val="Header"/>
          <w:jc w:val="right"/>
        </w:pPr>
        <w:r>
          <w:fldChar w:fldCharType="begin"/>
        </w:r>
        <w:r>
          <w:instrText xml:space="preserve"> PAGE   \* MERGEFORMAT </w:instrText>
        </w:r>
        <w:r>
          <w:fldChar w:fldCharType="separate"/>
        </w:r>
        <w:r w:rsidR="00B543EC">
          <w:rPr>
            <w:noProof/>
          </w:rPr>
          <w:t>2</w:t>
        </w:r>
        <w:r>
          <w:rPr>
            <w:noProof/>
          </w:rPr>
          <w:fldChar w:fldCharType="end"/>
        </w:r>
      </w:p>
    </w:sdtContent>
  </w:sdt>
  <w:p w:rsidR="00A71DC3" w:rsidRDefault="00A71D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8B6"/>
    <w:rsid w:val="004417CE"/>
    <w:rsid w:val="00487591"/>
    <w:rsid w:val="005375FC"/>
    <w:rsid w:val="005506AC"/>
    <w:rsid w:val="005A00C5"/>
    <w:rsid w:val="00831BCF"/>
    <w:rsid w:val="008966DE"/>
    <w:rsid w:val="00920E93"/>
    <w:rsid w:val="00962E91"/>
    <w:rsid w:val="009E63D4"/>
    <w:rsid w:val="00A44011"/>
    <w:rsid w:val="00A71DC3"/>
    <w:rsid w:val="00AA6417"/>
    <w:rsid w:val="00B40C2D"/>
    <w:rsid w:val="00B462D7"/>
    <w:rsid w:val="00B51A1D"/>
    <w:rsid w:val="00B543EC"/>
    <w:rsid w:val="00B85ED1"/>
    <w:rsid w:val="00BB7DB2"/>
    <w:rsid w:val="00D62C01"/>
    <w:rsid w:val="00D906CE"/>
    <w:rsid w:val="00DC18B6"/>
    <w:rsid w:val="00EC0D2E"/>
    <w:rsid w:val="00FD5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77ABF4-70B8-4F95-8E90-AB9397EDB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75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5F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375FC"/>
  </w:style>
  <w:style w:type="paragraph" w:styleId="NormalWeb">
    <w:name w:val="Normal (Web)"/>
    <w:basedOn w:val="Normal"/>
    <w:uiPriority w:val="99"/>
    <w:semiHidden/>
    <w:unhideWhenUsed/>
    <w:rsid w:val="00EC0D2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0D2E"/>
    <w:rPr>
      <w:i/>
      <w:iCs/>
    </w:rPr>
  </w:style>
  <w:style w:type="paragraph" w:styleId="Header">
    <w:name w:val="header"/>
    <w:basedOn w:val="Normal"/>
    <w:link w:val="HeaderChar"/>
    <w:uiPriority w:val="99"/>
    <w:unhideWhenUsed/>
    <w:rsid w:val="00A71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DC3"/>
  </w:style>
  <w:style w:type="paragraph" w:styleId="Footer">
    <w:name w:val="footer"/>
    <w:basedOn w:val="Normal"/>
    <w:link w:val="FooterChar"/>
    <w:uiPriority w:val="99"/>
    <w:unhideWhenUsed/>
    <w:rsid w:val="00A71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292584">
      <w:bodyDiv w:val="1"/>
      <w:marLeft w:val="0"/>
      <w:marRight w:val="0"/>
      <w:marTop w:val="0"/>
      <w:marBottom w:val="0"/>
      <w:divBdr>
        <w:top w:val="none" w:sz="0" w:space="0" w:color="auto"/>
        <w:left w:val="none" w:sz="0" w:space="0" w:color="auto"/>
        <w:bottom w:val="none" w:sz="0" w:space="0" w:color="auto"/>
        <w:right w:val="none" w:sz="0" w:space="0" w:color="auto"/>
      </w:divBdr>
    </w:div>
    <w:div w:id="1111509193">
      <w:bodyDiv w:val="1"/>
      <w:marLeft w:val="0"/>
      <w:marRight w:val="0"/>
      <w:marTop w:val="0"/>
      <w:marBottom w:val="0"/>
      <w:divBdr>
        <w:top w:val="none" w:sz="0" w:space="0" w:color="auto"/>
        <w:left w:val="none" w:sz="0" w:space="0" w:color="auto"/>
        <w:bottom w:val="none" w:sz="0" w:space="0" w:color="auto"/>
        <w:right w:val="none" w:sz="0" w:space="0" w:color="auto"/>
      </w:divBdr>
    </w:div>
    <w:div w:id="131892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Dan15</b:Tag>
    <b:SourceType>Book</b:SourceType>
    <b:Guid>{565EBE84-05A8-41B1-AF27-1E1F5AA86AC2}</b:Guid>
    <b:Author>
      <b:Author>
        <b:NameList>
          <b:Person>
            <b:Last>e</b:Last>
            <b:First>Daniel</b:First>
            <b:Middle>Hall</b:Middle>
          </b:Person>
        </b:NameList>
      </b:Author>
    </b:Author>
    <b:Title>criminal law and procedure</b:Title>
    <b:Year>2015</b:Year>
    <b:Publisher>Cengage Learning</b:Publisher>
    <b:RefOrder>1</b:RefOrder>
  </b:Source>
</b:Sources>
</file>

<file path=customXml/itemProps1.xml><?xml version="1.0" encoding="utf-8"?>
<ds:datastoreItem xmlns:ds="http://schemas.openxmlformats.org/officeDocument/2006/customXml" ds:itemID="{B59C830E-5D6B-449D-AA7F-2744F9B96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2020-03-07T07:07:00Z</dcterms:created>
  <dcterms:modified xsi:type="dcterms:W3CDTF">2020-03-07T10:04:00Z</dcterms:modified>
</cp:coreProperties>
</file>